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CEF9" w14:textId="77777777" w:rsidR="00D026C7" w:rsidRPr="00D026C7" w:rsidRDefault="00D026C7" w:rsidP="00D026C7">
      <w:pPr>
        <w:rPr>
          <w:rFonts w:eastAsia="Calibri" w:cs="Times New Roman"/>
        </w:rPr>
      </w:pPr>
      <w:r w:rsidRPr="00D026C7">
        <w:rPr>
          <w:rFonts w:eastAsia="Calibri" w:cs="Times New Roman"/>
        </w:rPr>
        <w:t>Lisa 3</w:t>
      </w:r>
    </w:p>
    <w:p w14:paraId="39742144" w14:textId="77777777" w:rsidR="00D026C7" w:rsidRPr="00D026C7" w:rsidRDefault="00D026C7" w:rsidP="00D026C7">
      <w:pPr>
        <w:rPr>
          <w:rFonts w:eastAsia="Calibri" w:cs="Times New Roman"/>
        </w:rPr>
      </w:pPr>
    </w:p>
    <w:p w14:paraId="372CFC61" w14:textId="77777777" w:rsidR="00D026C7" w:rsidRPr="00D026C7" w:rsidRDefault="00D026C7" w:rsidP="00D026C7">
      <w:pPr>
        <w:keepNext/>
        <w:keepLines/>
        <w:autoSpaceDE w:val="0"/>
        <w:autoSpaceDN w:val="0"/>
        <w:jc w:val="center"/>
        <w:outlineLvl w:val="1"/>
        <w:rPr>
          <w:rFonts w:eastAsia="Times New Roman" w:cs="Times New Roman"/>
          <w:i/>
          <w:lang w:eastAsia="et-EE"/>
        </w:rPr>
      </w:pPr>
      <w:r w:rsidRPr="00D026C7">
        <w:rPr>
          <w:rFonts w:eastAsia="Times New Roman" w:cs="Times New Roman"/>
          <w:lang w:eastAsia="et-EE"/>
        </w:rPr>
        <w:t>AKT</w:t>
      </w:r>
    </w:p>
    <w:p w14:paraId="53DAE470" w14:textId="77777777" w:rsidR="00D026C7" w:rsidRPr="00D026C7" w:rsidRDefault="00D026C7" w:rsidP="00D026C7">
      <w:pPr>
        <w:keepNext/>
        <w:keepLines/>
        <w:autoSpaceDE w:val="0"/>
        <w:autoSpaceDN w:val="0"/>
        <w:jc w:val="center"/>
        <w:outlineLvl w:val="1"/>
        <w:rPr>
          <w:rFonts w:eastAsia="Times New Roman" w:cs="Times New Roman"/>
          <w:i/>
          <w:lang w:eastAsia="et-EE"/>
        </w:rPr>
      </w:pPr>
      <w:r w:rsidRPr="00D026C7">
        <w:rPr>
          <w:rFonts w:eastAsia="Times New Roman" w:cs="Times New Roman"/>
          <w:lang w:eastAsia="et-EE"/>
        </w:rPr>
        <w:t>LEPPETRAHVI MÄÄRAMISE KOHTA</w:t>
      </w:r>
    </w:p>
    <w:p w14:paraId="0F7A764E" w14:textId="77777777" w:rsidR="00D026C7" w:rsidRPr="00D026C7" w:rsidRDefault="00D026C7" w:rsidP="00D026C7">
      <w:pPr>
        <w:ind w:hanging="11"/>
        <w:rPr>
          <w:rFonts w:eastAsia="Times New Roman" w:cs="Times New Roman"/>
        </w:rPr>
      </w:pPr>
    </w:p>
    <w:p w14:paraId="68194B1A" w14:textId="03838841" w:rsidR="00D026C7" w:rsidRPr="00D026C7" w:rsidRDefault="00D026C7" w:rsidP="00D026C7">
      <w:pPr>
        <w:ind w:hanging="11"/>
        <w:rPr>
          <w:rFonts w:eastAsia="Times New Roman" w:cs="Times New Roman"/>
        </w:rPr>
      </w:pPr>
      <w:r w:rsidRPr="00D026C7">
        <w:rPr>
          <w:rFonts w:eastAsia="Times New Roman" w:cs="Times New Roman"/>
        </w:rPr>
        <w:t>..... ............... 202</w:t>
      </w:r>
      <w:r w:rsidR="00827717">
        <w:rPr>
          <w:rFonts w:eastAsia="Times New Roman" w:cs="Times New Roman"/>
        </w:rPr>
        <w:t>3</w:t>
      </w:r>
      <w:r w:rsidRPr="00D026C7">
        <w:rPr>
          <w:rFonts w:eastAsia="Times New Roman" w:cs="Times New Roman"/>
        </w:rPr>
        <w:t xml:space="preserve"> on töövõtjale ................ määratud leppetrahv tööde tegemise tehnoloogilistest nõuetest / lepingulistest kohustustest mittekinnipidamise eest. </w:t>
      </w:r>
    </w:p>
    <w:p w14:paraId="2D630A33" w14:textId="77777777" w:rsidR="00D026C7" w:rsidRPr="00D026C7" w:rsidRDefault="00D026C7" w:rsidP="00D026C7">
      <w:pPr>
        <w:ind w:hanging="11"/>
        <w:rPr>
          <w:rFonts w:eastAsia="Times New Roman" w:cs="Times New Roman"/>
        </w:rPr>
      </w:pPr>
    </w:p>
    <w:p w14:paraId="4B8B13A1" w14:textId="77777777" w:rsidR="00D026C7" w:rsidRPr="00D026C7" w:rsidRDefault="00D026C7" w:rsidP="00D026C7">
      <w:pPr>
        <w:ind w:hanging="11"/>
        <w:rPr>
          <w:rFonts w:eastAsia="Times New Roman" w:cs="Times New Roman"/>
        </w:rPr>
      </w:pPr>
      <w:r w:rsidRPr="00D026C7">
        <w:rPr>
          <w:rFonts w:eastAsia="Times New Roman" w:cs="Times New Roman"/>
        </w:rPr>
        <w:t>Leppetrahvid lepingu-, kvaliteedi-, tehnoloogia- ja liikluskorraldusnõuete rikkumise puhul määratakse ja vormistatakse tellija esindaja poolt. Leppetrahvi määramise kohta koostatud akti alusel esitab tellija töövõtjale nõude leppetrahvi tasumiseks.</w:t>
      </w:r>
    </w:p>
    <w:p w14:paraId="317CDDCF" w14:textId="77777777" w:rsidR="00D026C7" w:rsidRPr="00D026C7" w:rsidRDefault="00D026C7" w:rsidP="00D026C7">
      <w:pPr>
        <w:ind w:hanging="11"/>
        <w:rPr>
          <w:rFonts w:eastAsia="Times New Roman" w:cs="Times New Roman"/>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6662"/>
        <w:gridCol w:w="1673"/>
      </w:tblGrid>
      <w:tr w:rsidR="00D026C7" w:rsidRPr="00D026C7" w14:paraId="13C3F72C" w14:textId="77777777" w:rsidTr="000574D8">
        <w:trPr>
          <w:trHeight w:val="156"/>
        </w:trPr>
        <w:tc>
          <w:tcPr>
            <w:tcW w:w="1269" w:type="dxa"/>
          </w:tcPr>
          <w:p w14:paraId="1E560B45" w14:textId="77777777" w:rsidR="00D026C7" w:rsidRPr="00D026C7" w:rsidRDefault="00D026C7" w:rsidP="00D026C7">
            <w:pPr>
              <w:jc w:val="center"/>
              <w:rPr>
                <w:rFonts w:eastAsia="Calibri" w:cs="Arial"/>
              </w:rPr>
            </w:pPr>
            <w:r w:rsidRPr="00D026C7">
              <w:rPr>
                <w:rFonts w:eastAsia="Calibri" w:cs="Arial"/>
              </w:rPr>
              <w:t>Märge määramise kohta</w:t>
            </w:r>
          </w:p>
        </w:tc>
        <w:tc>
          <w:tcPr>
            <w:tcW w:w="6662" w:type="dxa"/>
          </w:tcPr>
          <w:p w14:paraId="65FB0AF7" w14:textId="77777777" w:rsidR="00D026C7" w:rsidRPr="00D026C7" w:rsidRDefault="00D026C7" w:rsidP="00D026C7">
            <w:pPr>
              <w:jc w:val="center"/>
              <w:rPr>
                <w:rFonts w:eastAsia="Calibri" w:cs="Arial"/>
              </w:rPr>
            </w:pPr>
            <w:r w:rsidRPr="00D026C7">
              <w:rPr>
                <w:rFonts w:eastAsia="Calibri" w:cs="Arial"/>
              </w:rPr>
              <w:t>Põhjus</w:t>
            </w:r>
          </w:p>
          <w:p w14:paraId="6AE088B5" w14:textId="77777777" w:rsidR="00D026C7" w:rsidRPr="00D026C7" w:rsidRDefault="00D026C7" w:rsidP="00D026C7">
            <w:pPr>
              <w:rPr>
                <w:rFonts w:eastAsia="Calibri" w:cs="Arial"/>
              </w:rPr>
            </w:pPr>
          </w:p>
        </w:tc>
        <w:tc>
          <w:tcPr>
            <w:tcW w:w="1673" w:type="dxa"/>
          </w:tcPr>
          <w:p w14:paraId="42E985EF" w14:textId="77777777" w:rsidR="00D026C7" w:rsidRPr="00D026C7" w:rsidRDefault="00D026C7" w:rsidP="00D026C7">
            <w:pPr>
              <w:jc w:val="right"/>
              <w:rPr>
                <w:rFonts w:eastAsia="Calibri" w:cs="Arial"/>
              </w:rPr>
            </w:pPr>
            <w:r w:rsidRPr="00D026C7">
              <w:rPr>
                <w:rFonts w:eastAsia="Calibri" w:cs="Arial"/>
              </w:rPr>
              <w:t>Leppetrahvi suurus eurodes</w:t>
            </w:r>
          </w:p>
        </w:tc>
      </w:tr>
      <w:tr w:rsidR="00D026C7" w:rsidRPr="00D026C7" w14:paraId="56311B13" w14:textId="77777777" w:rsidTr="000574D8">
        <w:trPr>
          <w:trHeight w:val="156"/>
        </w:trPr>
        <w:tc>
          <w:tcPr>
            <w:tcW w:w="1269" w:type="dxa"/>
          </w:tcPr>
          <w:p w14:paraId="5FEE0230" w14:textId="77777777" w:rsidR="00D026C7" w:rsidRPr="00D026C7" w:rsidRDefault="00D026C7" w:rsidP="00D026C7">
            <w:pPr>
              <w:rPr>
                <w:rFonts w:eastAsia="Calibri" w:cs="Arial"/>
              </w:rPr>
            </w:pPr>
          </w:p>
        </w:tc>
        <w:tc>
          <w:tcPr>
            <w:tcW w:w="6662" w:type="dxa"/>
          </w:tcPr>
          <w:p w14:paraId="48D6D5E9" w14:textId="77777777" w:rsidR="00D026C7" w:rsidRPr="00D026C7" w:rsidRDefault="00D026C7" w:rsidP="00D026C7">
            <w:pPr>
              <w:rPr>
                <w:rFonts w:eastAsia="Calibri" w:cs="Arial"/>
                <w:bCs/>
              </w:rPr>
            </w:pPr>
            <w:r w:rsidRPr="00D026C7">
              <w:rPr>
                <w:rFonts w:eastAsia="Calibri" w:cs="Arial"/>
                <w:bCs/>
              </w:rPr>
              <w:t>Tööde, materjalide ja paigaldatavate asjade kvaliteedi kontrolliga seotud mõõtmiste, katsetuste ja muude tegevuste eiramise eest (nt asenduse kooskõlastamine)</w:t>
            </w:r>
          </w:p>
        </w:tc>
        <w:tc>
          <w:tcPr>
            <w:tcW w:w="1673" w:type="dxa"/>
          </w:tcPr>
          <w:p w14:paraId="74D929C0" w14:textId="2640BEFE" w:rsidR="00D026C7" w:rsidRPr="00D026C7" w:rsidRDefault="00D026C7" w:rsidP="00D026C7">
            <w:pPr>
              <w:jc w:val="right"/>
              <w:rPr>
                <w:rFonts w:eastAsia="Calibri" w:cs="Arial"/>
              </w:rPr>
            </w:pPr>
            <w:r w:rsidRPr="00D026C7">
              <w:rPr>
                <w:rFonts w:eastAsia="Calibri" w:cs="Arial"/>
              </w:rPr>
              <w:t>kuni 500</w:t>
            </w:r>
            <w:r w:rsidR="0004626B">
              <w:rPr>
                <w:rFonts w:eastAsia="Calibri" w:cs="Arial"/>
              </w:rPr>
              <w:t xml:space="preserve"> kord</w:t>
            </w:r>
          </w:p>
          <w:p w14:paraId="4A23B059" w14:textId="77777777" w:rsidR="00D026C7" w:rsidRPr="00D026C7" w:rsidRDefault="00D026C7" w:rsidP="00D026C7">
            <w:pPr>
              <w:jc w:val="right"/>
              <w:rPr>
                <w:rFonts w:eastAsia="Calibri" w:cs="Arial"/>
              </w:rPr>
            </w:pPr>
          </w:p>
        </w:tc>
      </w:tr>
      <w:tr w:rsidR="00D026C7" w:rsidRPr="00D026C7" w14:paraId="0B35481B" w14:textId="77777777" w:rsidTr="000574D8">
        <w:trPr>
          <w:trHeight w:val="156"/>
        </w:trPr>
        <w:tc>
          <w:tcPr>
            <w:tcW w:w="1269" w:type="dxa"/>
          </w:tcPr>
          <w:p w14:paraId="34E89274" w14:textId="77777777" w:rsidR="00D026C7" w:rsidRPr="00D026C7" w:rsidRDefault="00D026C7" w:rsidP="00D026C7">
            <w:pPr>
              <w:rPr>
                <w:rFonts w:eastAsia="Calibri" w:cs="Arial"/>
              </w:rPr>
            </w:pPr>
          </w:p>
        </w:tc>
        <w:tc>
          <w:tcPr>
            <w:tcW w:w="6662" w:type="dxa"/>
          </w:tcPr>
          <w:p w14:paraId="59472ADB" w14:textId="77777777" w:rsidR="00D026C7" w:rsidRPr="00D026C7" w:rsidRDefault="00D026C7" w:rsidP="00D026C7">
            <w:pPr>
              <w:rPr>
                <w:rFonts w:eastAsia="Calibri" w:cs="Arial"/>
                <w:bCs/>
              </w:rPr>
            </w:pPr>
            <w:r w:rsidRPr="00D026C7">
              <w:rPr>
                <w:rFonts w:eastAsia="Calibri" w:cs="Arial"/>
                <w:bCs/>
              </w:rPr>
              <w:t>Tellija või omanikujärelevalve poolt tehtud pistelise proovi tulemusel kvaliteedinõuetest avastatud kõrvalekaldumiste eest, millest töövõtja ei ole kirjalikult teavitanud</w:t>
            </w:r>
          </w:p>
        </w:tc>
        <w:tc>
          <w:tcPr>
            <w:tcW w:w="1673" w:type="dxa"/>
          </w:tcPr>
          <w:p w14:paraId="1A43EEAD" w14:textId="78CF0959" w:rsidR="00D026C7" w:rsidRPr="00D026C7" w:rsidRDefault="00D026C7" w:rsidP="00D026C7">
            <w:pPr>
              <w:jc w:val="right"/>
              <w:rPr>
                <w:rFonts w:eastAsia="Calibri" w:cs="Arial"/>
              </w:rPr>
            </w:pPr>
            <w:r w:rsidRPr="00D026C7">
              <w:rPr>
                <w:rFonts w:eastAsia="Calibri" w:cs="Arial"/>
              </w:rPr>
              <w:t>kuni 1000</w:t>
            </w:r>
            <w:r w:rsidR="0004626B">
              <w:rPr>
                <w:rFonts w:eastAsia="Calibri" w:cs="Arial"/>
              </w:rPr>
              <w:t xml:space="preserve"> kord</w:t>
            </w:r>
          </w:p>
          <w:p w14:paraId="3B281187" w14:textId="77777777" w:rsidR="00D026C7" w:rsidRPr="00D026C7" w:rsidRDefault="00D026C7" w:rsidP="00D026C7">
            <w:pPr>
              <w:jc w:val="right"/>
              <w:rPr>
                <w:rFonts w:eastAsia="Calibri" w:cs="Arial"/>
              </w:rPr>
            </w:pPr>
          </w:p>
        </w:tc>
      </w:tr>
      <w:tr w:rsidR="00D026C7" w:rsidRPr="00D026C7" w14:paraId="37B6D9D5" w14:textId="77777777" w:rsidTr="000574D8">
        <w:trPr>
          <w:trHeight w:val="156"/>
        </w:trPr>
        <w:tc>
          <w:tcPr>
            <w:tcW w:w="1269" w:type="dxa"/>
          </w:tcPr>
          <w:p w14:paraId="161BE20B" w14:textId="77777777" w:rsidR="00D026C7" w:rsidRPr="00D026C7" w:rsidRDefault="00D026C7" w:rsidP="00D026C7">
            <w:pPr>
              <w:rPr>
                <w:rFonts w:eastAsia="Calibri" w:cs="Arial"/>
              </w:rPr>
            </w:pPr>
          </w:p>
        </w:tc>
        <w:tc>
          <w:tcPr>
            <w:tcW w:w="6662" w:type="dxa"/>
          </w:tcPr>
          <w:p w14:paraId="46BB763E" w14:textId="77777777" w:rsidR="00D026C7" w:rsidRPr="00D026C7" w:rsidRDefault="00D026C7" w:rsidP="00D026C7">
            <w:pPr>
              <w:rPr>
                <w:rFonts w:eastAsia="Calibri" w:cs="Arial"/>
                <w:bCs/>
              </w:rPr>
            </w:pPr>
            <w:r w:rsidRPr="00D026C7">
              <w:rPr>
                <w:rFonts w:eastAsia="Calibri" w:cs="Arial"/>
                <w:bCs/>
              </w:rPr>
              <w:t>Töövõtja poolt tööde ja materjalide kvaliteedi kontrolliga seotud dokumentides, autojuhi poolt objektile tarnitud materjali saatelehtedel, tööde vastuvõtu aruannetes või objektipäevikutes mittetõepäraste andmete esitamise eest</w:t>
            </w:r>
          </w:p>
        </w:tc>
        <w:tc>
          <w:tcPr>
            <w:tcW w:w="1673" w:type="dxa"/>
          </w:tcPr>
          <w:p w14:paraId="20B415D9" w14:textId="66ABD581" w:rsidR="00D026C7" w:rsidRPr="00D026C7" w:rsidRDefault="00D026C7" w:rsidP="00D026C7">
            <w:pPr>
              <w:jc w:val="right"/>
              <w:rPr>
                <w:rFonts w:eastAsia="Calibri" w:cs="Arial"/>
              </w:rPr>
            </w:pPr>
            <w:r w:rsidRPr="00D026C7">
              <w:rPr>
                <w:rFonts w:eastAsia="Calibri" w:cs="Arial"/>
              </w:rPr>
              <w:t xml:space="preserve">kuni 1000 </w:t>
            </w:r>
            <w:r w:rsidR="0004626B">
              <w:rPr>
                <w:rFonts w:eastAsia="Calibri" w:cs="Arial"/>
              </w:rPr>
              <w:t>kord</w:t>
            </w:r>
          </w:p>
        </w:tc>
      </w:tr>
      <w:tr w:rsidR="00D026C7" w:rsidRPr="00D026C7" w14:paraId="15D064C8" w14:textId="77777777" w:rsidTr="000574D8">
        <w:trPr>
          <w:trHeight w:val="156"/>
        </w:trPr>
        <w:tc>
          <w:tcPr>
            <w:tcW w:w="1269" w:type="dxa"/>
          </w:tcPr>
          <w:p w14:paraId="7CCF9C76" w14:textId="77777777" w:rsidR="00D026C7" w:rsidRPr="00D026C7" w:rsidRDefault="00D026C7" w:rsidP="00D026C7">
            <w:pPr>
              <w:rPr>
                <w:rFonts w:eastAsia="Calibri" w:cs="Arial"/>
              </w:rPr>
            </w:pPr>
          </w:p>
        </w:tc>
        <w:tc>
          <w:tcPr>
            <w:tcW w:w="6662" w:type="dxa"/>
          </w:tcPr>
          <w:p w14:paraId="43B26423" w14:textId="77777777" w:rsidR="00D026C7" w:rsidRPr="00D026C7" w:rsidRDefault="00D026C7" w:rsidP="00D026C7">
            <w:pPr>
              <w:rPr>
                <w:rFonts w:eastAsia="Calibri" w:cs="Arial"/>
                <w:bCs/>
              </w:rPr>
            </w:pPr>
            <w:r w:rsidRPr="00D026C7">
              <w:rPr>
                <w:rFonts w:eastAsia="Calibri" w:cs="Arial"/>
                <w:bCs/>
              </w:rPr>
              <w:t xml:space="preserve">Kui töövõtja esindaja on objektil alustanud järgmise etapi töödega eelnevalt omanikujärelevalvet teavitamata (ehk loa saamist järgmise etapi töödega alustamiseks), eelmise etapi tööde korrektsete üleandmise protseduure vältides vms tegevused või tegevusetus, mis ei võimalda omanikujärelevalvel hinnata eelneva etapi tööde korrektsust ja kehtivatele juhendmaterjalidele vastavust </w:t>
            </w:r>
          </w:p>
        </w:tc>
        <w:tc>
          <w:tcPr>
            <w:tcW w:w="1673" w:type="dxa"/>
          </w:tcPr>
          <w:p w14:paraId="2DB86390" w14:textId="752FA4AF" w:rsidR="00D026C7" w:rsidRPr="00D026C7" w:rsidRDefault="00D026C7" w:rsidP="00D026C7">
            <w:pPr>
              <w:jc w:val="right"/>
              <w:rPr>
                <w:rFonts w:eastAsia="Calibri" w:cs="Arial"/>
              </w:rPr>
            </w:pPr>
            <w:r w:rsidRPr="00D026C7">
              <w:rPr>
                <w:rFonts w:eastAsia="Calibri" w:cs="Arial"/>
              </w:rPr>
              <w:t>kuni 300</w:t>
            </w:r>
            <w:r w:rsidR="0004626B">
              <w:rPr>
                <w:rFonts w:eastAsia="Calibri" w:cs="Arial"/>
              </w:rPr>
              <w:t xml:space="preserve"> kord</w:t>
            </w:r>
          </w:p>
        </w:tc>
      </w:tr>
      <w:tr w:rsidR="00D026C7" w:rsidRPr="00D026C7" w14:paraId="07655FB2" w14:textId="77777777" w:rsidTr="000574D8">
        <w:trPr>
          <w:trHeight w:val="156"/>
        </w:trPr>
        <w:tc>
          <w:tcPr>
            <w:tcW w:w="1269" w:type="dxa"/>
          </w:tcPr>
          <w:p w14:paraId="76B6FB7C" w14:textId="77777777" w:rsidR="00D026C7" w:rsidRPr="00D026C7" w:rsidRDefault="00D026C7" w:rsidP="00D026C7">
            <w:pPr>
              <w:rPr>
                <w:rFonts w:eastAsia="Calibri" w:cs="Arial"/>
              </w:rPr>
            </w:pPr>
          </w:p>
        </w:tc>
        <w:tc>
          <w:tcPr>
            <w:tcW w:w="6662" w:type="dxa"/>
          </w:tcPr>
          <w:p w14:paraId="64DAB20A" w14:textId="77777777" w:rsidR="00D026C7" w:rsidRPr="00D026C7" w:rsidRDefault="00D026C7" w:rsidP="00D026C7">
            <w:pPr>
              <w:rPr>
                <w:rFonts w:eastAsia="Calibri" w:cs="Arial"/>
                <w:bCs/>
              </w:rPr>
            </w:pPr>
            <w:r w:rsidRPr="00D026C7">
              <w:rPr>
                <w:rFonts w:eastAsia="Calibri" w:cs="Arial"/>
                <w:bCs/>
              </w:rPr>
              <w:t xml:space="preserve">Objektipäevikute </w:t>
            </w:r>
            <w:r w:rsidRPr="00D026C7">
              <w:rPr>
                <w:rFonts w:eastAsia="Calibri" w:cs="Arial"/>
              </w:rPr>
              <w:t>mitteõigeaegse või ebakohase täitmise või mittetäitmise eest</w:t>
            </w:r>
          </w:p>
        </w:tc>
        <w:tc>
          <w:tcPr>
            <w:tcW w:w="1673" w:type="dxa"/>
          </w:tcPr>
          <w:p w14:paraId="34ED1C59" w14:textId="374EF0AC" w:rsidR="00D026C7" w:rsidRPr="00D026C7" w:rsidRDefault="00D026C7" w:rsidP="00D026C7">
            <w:pPr>
              <w:jc w:val="right"/>
              <w:rPr>
                <w:rFonts w:eastAsia="Calibri" w:cs="Arial"/>
              </w:rPr>
            </w:pPr>
            <w:r w:rsidRPr="00D026C7">
              <w:rPr>
                <w:rFonts w:eastAsia="Calibri" w:cs="Arial"/>
              </w:rPr>
              <w:t>kuni 100</w:t>
            </w:r>
            <w:r w:rsidR="0004626B">
              <w:rPr>
                <w:rFonts w:eastAsia="Calibri" w:cs="Arial"/>
              </w:rPr>
              <w:t xml:space="preserve"> kord</w:t>
            </w:r>
          </w:p>
        </w:tc>
      </w:tr>
      <w:tr w:rsidR="00D026C7" w:rsidRPr="00D026C7" w14:paraId="72E90C97" w14:textId="77777777" w:rsidTr="000574D8">
        <w:trPr>
          <w:trHeight w:val="699"/>
        </w:trPr>
        <w:tc>
          <w:tcPr>
            <w:tcW w:w="1269" w:type="dxa"/>
          </w:tcPr>
          <w:p w14:paraId="4290E258" w14:textId="77777777" w:rsidR="00D026C7" w:rsidRPr="00D026C7" w:rsidRDefault="00D026C7" w:rsidP="00D026C7">
            <w:pPr>
              <w:rPr>
                <w:rFonts w:eastAsia="Calibri" w:cs="Arial"/>
              </w:rPr>
            </w:pPr>
          </w:p>
        </w:tc>
        <w:tc>
          <w:tcPr>
            <w:tcW w:w="6662" w:type="dxa"/>
          </w:tcPr>
          <w:p w14:paraId="4B480FCD" w14:textId="77777777" w:rsidR="00D026C7" w:rsidRPr="00D026C7" w:rsidRDefault="00D026C7" w:rsidP="00D026C7">
            <w:pPr>
              <w:rPr>
                <w:rFonts w:eastAsia="Calibri" w:cs="Arial"/>
                <w:bCs/>
              </w:rPr>
            </w:pPr>
            <w:r w:rsidRPr="00D026C7">
              <w:rPr>
                <w:rFonts w:eastAsia="Calibri" w:cs="Arial"/>
                <w:bCs/>
              </w:rPr>
              <w:t>Töövõtjaga seotud isikud ei kasuta objektil nõuetekohaseid ohutusveste või teel töötavad mehhanismid ei kasuta vilkureid.</w:t>
            </w:r>
          </w:p>
        </w:tc>
        <w:tc>
          <w:tcPr>
            <w:tcW w:w="1673" w:type="dxa"/>
          </w:tcPr>
          <w:p w14:paraId="26931067" w14:textId="4AA7877E" w:rsidR="00D026C7" w:rsidRPr="00D026C7" w:rsidRDefault="00D026C7" w:rsidP="00D026C7">
            <w:pPr>
              <w:jc w:val="right"/>
              <w:rPr>
                <w:rFonts w:eastAsia="Calibri" w:cs="Arial"/>
              </w:rPr>
            </w:pPr>
            <w:r w:rsidRPr="00D026C7">
              <w:rPr>
                <w:rFonts w:eastAsia="Calibri" w:cs="Arial"/>
              </w:rPr>
              <w:t>kuni 150</w:t>
            </w:r>
            <w:r w:rsidR="003F0494">
              <w:rPr>
                <w:rFonts w:eastAsia="Calibri" w:cs="Arial"/>
              </w:rPr>
              <w:t xml:space="preserve"> </w:t>
            </w:r>
          </w:p>
        </w:tc>
      </w:tr>
      <w:tr w:rsidR="00D026C7" w:rsidRPr="00D026C7" w14:paraId="4126980F" w14:textId="77777777" w:rsidTr="000574D8">
        <w:trPr>
          <w:trHeight w:val="292"/>
        </w:trPr>
        <w:tc>
          <w:tcPr>
            <w:tcW w:w="1269" w:type="dxa"/>
          </w:tcPr>
          <w:p w14:paraId="71950080" w14:textId="77777777" w:rsidR="00D026C7" w:rsidRPr="00D026C7" w:rsidRDefault="00D026C7" w:rsidP="00D026C7">
            <w:pPr>
              <w:rPr>
                <w:rFonts w:eastAsia="Calibri" w:cs="Arial"/>
              </w:rPr>
            </w:pPr>
          </w:p>
        </w:tc>
        <w:tc>
          <w:tcPr>
            <w:tcW w:w="6662" w:type="dxa"/>
          </w:tcPr>
          <w:p w14:paraId="7C41343E" w14:textId="77777777" w:rsidR="00D026C7" w:rsidRPr="00D026C7" w:rsidRDefault="00D026C7" w:rsidP="00D026C7">
            <w:pPr>
              <w:rPr>
                <w:rFonts w:eastAsia="Calibri" w:cs="Arial"/>
              </w:rPr>
            </w:pPr>
            <w:r w:rsidRPr="00D026C7">
              <w:rPr>
                <w:rFonts w:eastAsia="Calibri" w:cs="Arial"/>
              </w:rPr>
              <w:t>-sama, teistkordselt</w:t>
            </w:r>
          </w:p>
        </w:tc>
        <w:tc>
          <w:tcPr>
            <w:tcW w:w="1673" w:type="dxa"/>
          </w:tcPr>
          <w:p w14:paraId="6C7E3791" w14:textId="77777777" w:rsidR="00D026C7" w:rsidRPr="00D026C7" w:rsidRDefault="00D026C7" w:rsidP="00D026C7">
            <w:pPr>
              <w:jc w:val="right"/>
              <w:rPr>
                <w:rFonts w:eastAsia="Calibri" w:cs="Arial"/>
              </w:rPr>
            </w:pPr>
            <w:r w:rsidRPr="00D026C7">
              <w:rPr>
                <w:rFonts w:eastAsia="Calibri" w:cs="Arial"/>
              </w:rPr>
              <w:t>kuni 200</w:t>
            </w:r>
          </w:p>
        </w:tc>
      </w:tr>
      <w:tr w:rsidR="00D026C7" w:rsidRPr="00D026C7" w14:paraId="5DF9D932" w14:textId="77777777" w:rsidTr="000574D8">
        <w:trPr>
          <w:trHeight w:val="292"/>
        </w:trPr>
        <w:tc>
          <w:tcPr>
            <w:tcW w:w="1269" w:type="dxa"/>
          </w:tcPr>
          <w:p w14:paraId="00A43DF6" w14:textId="77777777" w:rsidR="00D026C7" w:rsidRPr="00D026C7" w:rsidRDefault="00D026C7" w:rsidP="00D026C7">
            <w:pPr>
              <w:rPr>
                <w:rFonts w:eastAsia="Calibri" w:cs="Arial"/>
              </w:rPr>
            </w:pPr>
          </w:p>
        </w:tc>
        <w:tc>
          <w:tcPr>
            <w:tcW w:w="6662" w:type="dxa"/>
          </w:tcPr>
          <w:p w14:paraId="37E9B6EC" w14:textId="77777777" w:rsidR="00D026C7" w:rsidRPr="00D026C7" w:rsidRDefault="00D026C7" w:rsidP="00D026C7">
            <w:pPr>
              <w:rPr>
                <w:rFonts w:eastAsia="Calibri" w:cs="Arial"/>
              </w:rPr>
            </w:pPr>
            <w:r w:rsidRPr="00D026C7">
              <w:rPr>
                <w:rFonts w:eastAsia="Calibri" w:cs="Arial"/>
              </w:rPr>
              <w:t>-sama, iga järgneva korra puhul</w:t>
            </w:r>
          </w:p>
        </w:tc>
        <w:tc>
          <w:tcPr>
            <w:tcW w:w="1673" w:type="dxa"/>
          </w:tcPr>
          <w:p w14:paraId="1C1B4A30" w14:textId="77777777" w:rsidR="00D026C7" w:rsidRPr="00D026C7" w:rsidRDefault="00D026C7" w:rsidP="00D026C7">
            <w:pPr>
              <w:jc w:val="right"/>
              <w:rPr>
                <w:rFonts w:eastAsia="Calibri" w:cs="Arial"/>
              </w:rPr>
            </w:pPr>
            <w:r w:rsidRPr="00D026C7">
              <w:rPr>
                <w:rFonts w:eastAsia="Calibri" w:cs="Arial"/>
              </w:rPr>
              <w:t>kuni 350</w:t>
            </w:r>
          </w:p>
        </w:tc>
      </w:tr>
      <w:tr w:rsidR="00D026C7" w:rsidRPr="00D026C7" w14:paraId="6BD51FC5" w14:textId="77777777" w:rsidTr="000574D8">
        <w:trPr>
          <w:trHeight w:val="1185"/>
        </w:trPr>
        <w:tc>
          <w:tcPr>
            <w:tcW w:w="1269" w:type="dxa"/>
          </w:tcPr>
          <w:p w14:paraId="550E3120" w14:textId="77777777" w:rsidR="00D026C7" w:rsidRPr="00D026C7" w:rsidRDefault="00D026C7" w:rsidP="00D026C7">
            <w:pPr>
              <w:rPr>
                <w:rFonts w:eastAsia="Calibri" w:cs="Arial"/>
              </w:rPr>
            </w:pPr>
          </w:p>
        </w:tc>
        <w:tc>
          <w:tcPr>
            <w:tcW w:w="6662" w:type="dxa"/>
          </w:tcPr>
          <w:p w14:paraId="1C7F69ED" w14:textId="77777777" w:rsidR="00D026C7" w:rsidRPr="00D026C7" w:rsidRDefault="00D026C7" w:rsidP="00D026C7">
            <w:pPr>
              <w:rPr>
                <w:rFonts w:eastAsia="Calibri" w:cs="Arial"/>
                <w:bCs/>
              </w:rPr>
            </w:pPr>
            <w:r w:rsidRPr="00D026C7">
              <w:rPr>
                <w:rFonts w:eastAsia="Calibri" w:cs="Arial"/>
                <w:bCs/>
              </w:rPr>
              <w:t>Kõikide muude liikluskorralduse, liikluskorralduse teavitamise või tööohutuse alaste rikkumiste eest või kõrvalekaldumiste puhul lepingu dokumentides loetletud määrustest ja juhenditest</w:t>
            </w:r>
          </w:p>
        </w:tc>
        <w:tc>
          <w:tcPr>
            <w:tcW w:w="1673" w:type="dxa"/>
          </w:tcPr>
          <w:p w14:paraId="5F0F5FA5" w14:textId="273C1A51" w:rsidR="00D026C7" w:rsidRPr="00D026C7" w:rsidRDefault="00D026C7" w:rsidP="00D026C7">
            <w:pPr>
              <w:jc w:val="right"/>
              <w:rPr>
                <w:rFonts w:eastAsia="Calibri" w:cs="Arial"/>
              </w:rPr>
            </w:pPr>
            <w:r w:rsidRPr="00D026C7">
              <w:rPr>
                <w:rFonts w:eastAsia="Calibri" w:cs="Arial"/>
              </w:rPr>
              <w:t>kuni 150</w:t>
            </w:r>
            <w:r w:rsidR="003F0494">
              <w:rPr>
                <w:rFonts w:eastAsia="Calibri" w:cs="Arial"/>
              </w:rPr>
              <w:t xml:space="preserve"> </w:t>
            </w:r>
          </w:p>
        </w:tc>
      </w:tr>
      <w:tr w:rsidR="00D026C7" w:rsidRPr="00D026C7" w14:paraId="5A68280A" w14:textId="77777777" w:rsidTr="000574D8">
        <w:trPr>
          <w:trHeight w:val="292"/>
        </w:trPr>
        <w:tc>
          <w:tcPr>
            <w:tcW w:w="1269" w:type="dxa"/>
          </w:tcPr>
          <w:p w14:paraId="6A30B8CF" w14:textId="77777777" w:rsidR="00D026C7" w:rsidRPr="00D026C7" w:rsidRDefault="00D026C7" w:rsidP="00D026C7">
            <w:pPr>
              <w:rPr>
                <w:rFonts w:eastAsia="Calibri" w:cs="Arial"/>
              </w:rPr>
            </w:pPr>
          </w:p>
        </w:tc>
        <w:tc>
          <w:tcPr>
            <w:tcW w:w="6662" w:type="dxa"/>
          </w:tcPr>
          <w:p w14:paraId="6A2EBAEF" w14:textId="77777777" w:rsidR="00D026C7" w:rsidRPr="00D026C7" w:rsidRDefault="00D026C7" w:rsidP="00D026C7">
            <w:pPr>
              <w:rPr>
                <w:rFonts w:eastAsia="Calibri" w:cs="Arial"/>
              </w:rPr>
            </w:pPr>
            <w:r w:rsidRPr="00D026C7">
              <w:rPr>
                <w:rFonts w:eastAsia="Calibri" w:cs="Arial"/>
              </w:rPr>
              <w:t>-sama, teistkordselt</w:t>
            </w:r>
          </w:p>
        </w:tc>
        <w:tc>
          <w:tcPr>
            <w:tcW w:w="1673" w:type="dxa"/>
          </w:tcPr>
          <w:p w14:paraId="1DC64595" w14:textId="77777777" w:rsidR="00D026C7" w:rsidRPr="00D026C7" w:rsidRDefault="00D026C7" w:rsidP="00D026C7">
            <w:pPr>
              <w:jc w:val="right"/>
              <w:rPr>
                <w:rFonts w:eastAsia="Calibri" w:cs="Arial"/>
              </w:rPr>
            </w:pPr>
            <w:r w:rsidRPr="00D026C7">
              <w:rPr>
                <w:rFonts w:eastAsia="Calibri" w:cs="Arial"/>
              </w:rPr>
              <w:t>kuni 200</w:t>
            </w:r>
          </w:p>
        </w:tc>
      </w:tr>
      <w:tr w:rsidR="00D026C7" w:rsidRPr="00D026C7" w14:paraId="0F841042" w14:textId="77777777" w:rsidTr="000574D8">
        <w:trPr>
          <w:trHeight w:val="292"/>
        </w:trPr>
        <w:tc>
          <w:tcPr>
            <w:tcW w:w="1269" w:type="dxa"/>
          </w:tcPr>
          <w:p w14:paraId="68D4E956" w14:textId="77777777" w:rsidR="00D026C7" w:rsidRPr="00D026C7" w:rsidRDefault="00D026C7" w:rsidP="00D026C7">
            <w:pPr>
              <w:rPr>
                <w:rFonts w:eastAsia="Calibri" w:cs="Arial"/>
              </w:rPr>
            </w:pPr>
          </w:p>
        </w:tc>
        <w:tc>
          <w:tcPr>
            <w:tcW w:w="6662" w:type="dxa"/>
          </w:tcPr>
          <w:p w14:paraId="4B08830D" w14:textId="77777777" w:rsidR="00D026C7" w:rsidRPr="00D026C7" w:rsidRDefault="00D026C7" w:rsidP="00D026C7">
            <w:pPr>
              <w:rPr>
                <w:rFonts w:eastAsia="Calibri" w:cs="Arial"/>
              </w:rPr>
            </w:pPr>
            <w:r w:rsidRPr="00D026C7">
              <w:rPr>
                <w:rFonts w:eastAsia="Calibri" w:cs="Arial"/>
              </w:rPr>
              <w:t>-sama, iga järgneva korra puhul</w:t>
            </w:r>
          </w:p>
        </w:tc>
        <w:tc>
          <w:tcPr>
            <w:tcW w:w="1673" w:type="dxa"/>
          </w:tcPr>
          <w:p w14:paraId="20985866" w14:textId="77777777" w:rsidR="00D026C7" w:rsidRPr="00D026C7" w:rsidRDefault="00D026C7" w:rsidP="00D026C7">
            <w:pPr>
              <w:jc w:val="right"/>
              <w:rPr>
                <w:rFonts w:eastAsia="Calibri" w:cs="Arial"/>
              </w:rPr>
            </w:pPr>
            <w:r w:rsidRPr="00D026C7">
              <w:rPr>
                <w:rFonts w:eastAsia="Calibri" w:cs="Arial"/>
              </w:rPr>
              <w:t>kuni 350</w:t>
            </w:r>
          </w:p>
        </w:tc>
      </w:tr>
      <w:tr w:rsidR="00D026C7" w:rsidRPr="00D026C7" w14:paraId="0BE8F069" w14:textId="77777777" w:rsidTr="000574D8">
        <w:trPr>
          <w:trHeight w:val="601"/>
        </w:trPr>
        <w:tc>
          <w:tcPr>
            <w:tcW w:w="1269" w:type="dxa"/>
          </w:tcPr>
          <w:p w14:paraId="5870673A" w14:textId="77777777" w:rsidR="00D026C7" w:rsidRPr="00D026C7" w:rsidRDefault="00D026C7" w:rsidP="00D026C7">
            <w:pPr>
              <w:rPr>
                <w:rFonts w:eastAsia="Calibri" w:cs="Arial"/>
              </w:rPr>
            </w:pPr>
          </w:p>
        </w:tc>
        <w:tc>
          <w:tcPr>
            <w:tcW w:w="6662" w:type="dxa"/>
          </w:tcPr>
          <w:p w14:paraId="6B34FF33" w14:textId="77777777" w:rsidR="00D026C7" w:rsidRPr="00D026C7" w:rsidRDefault="00D026C7" w:rsidP="00D026C7">
            <w:pPr>
              <w:rPr>
                <w:rFonts w:eastAsia="Calibri" w:cs="Arial"/>
              </w:rPr>
            </w:pPr>
            <w:r w:rsidRPr="00D026C7">
              <w:rPr>
                <w:rFonts w:eastAsia="Calibri" w:cs="Arial"/>
              </w:rPr>
              <w:t>Alltöövõtja mittekooskõlastamise eest</w:t>
            </w:r>
          </w:p>
        </w:tc>
        <w:tc>
          <w:tcPr>
            <w:tcW w:w="1673" w:type="dxa"/>
          </w:tcPr>
          <w:p w14:paraId="6B2F2D47" w14:textId="77777777" w:rsidR="00D026C7" w:rsidRPr="00D026C7" w:rsidRDefault="00D026C7" w:rsidP="00D026C7">
            <w:pPr>
              <w:jc w:val="right"/>
              <w:rPr>
                <w:rFonts w:eastAsia="Calibri" w:cs="Arial"/>
              </w:rPr>
            </w:pPr>
            <w:r w:rsidRPr="00D026C7">
              <w:rPr>
                <w:rFonts w:eastAsia="Calibri" w:cs="Arial"/>
              </w:rPr>
              <w:t>kuni 50 iga päeva eest</w:t>
            </w:r>
          </w:p>
        </w:tc>
      </w:tr>
      <w:tr w:rsidR="00D026C7" w:rsidRPr="00D026C7" w14:paraId="48748518" w14:textId="77777777" w:rsidTr="000574D8">
        <w:trPr>
          <w:trHeight w:val="601"/>
        </w:trPr>
        <w:tc>
          <w:tcPr>
            <w:tcW w:w="1269" w:type="dxa"/>
          </w:tcPr>
          <w:p w14:paraId="025BAA1D" w14:textId="77777777" w:rsidR="00D026C7" w:rsidRPr="00D026C7" w:rsidRDefault="00D026C7" w:rsidP="00D026C7">
            <w:pPr>
              <w:rPr>
                <w:rFonts w:eastAsia="Calibri" w:cs="Arial"/>
              </w:rPr>
            </w:pPr>
          </w:p>
        </w:tc>
        <w:tc>
          <w:tcPr>
            <w:tcW w:w="6662" w:type="dxa"/>
          </w:tcPr>
          <w:p w14:paraId="1199D655" w14:textId="77777777" w:rsidR="00D026C7" w:rsidRPr="00D026C7" w:rsidRDefault="00D026C7" w:rsidP="00D026C7">
            <w:pPr>
              <w:rPr>
                <w:rFonts w:eastAsia="Calibri" w:cs="Arial"/>
              </w:rPr>
            </w:pPr>
            <w:r w:rsidRPr="00D026C7">
              <w:rPr>
                <w:rFonts w:eastAsia="Calibri" w:cs="Arial"/>
              </w:rPr>
              <w:t>Töövõtja projektijuhi/objektijuhi vahetuse tellijaga kooskõlastamata jätmise eest</w:t>
            </w:r>
          </w:p>
        </w:tc>
        <w:tc>
          <w:tcPr>
            <w:tcW w:w="1673" w:type="dxa"/>
          </w:tcPr>
          <w:p w14:paraId="55C02C68" w14:textId="77777777" w:rsidR="00D026C7" w:rsidRPr="00D026C7" w:rsidRDefault="00D026C7" w:rsidP="00D026C7">
            <w:pPr>
              <w:jc w:val="right"/>
              <w:rPr>
                <w:rFonts w:eastAsia="Calibri" w:cs="Arial"/>
              </w:rPr>
            </w:pPr>
            <w:r w:rsidRPr="00D026C7">
              <w:rPr>
                <w:rFonts w:eastAsia="Calibri" w:cs="Arial"/>
              </w:rPr>
              <w:t>kuni 35 iga päeva eest</w:t>
            </w:r>
          </w:p>
        </w:tc>
      </w:tr>
      <w:tr w:rsidR="00D026C7" w:rsidRPr="00D026C7" w14:paraId="17AB2DF8" w14:textId="77777777" w:rsidTr="000574D8">
        <w:trPr>
          <w:trHeight w:val="601"/>
        </w:trPr>
        <w:tc>
          <w:tcPr>
            <w:tcW w:w="1269" w:type="dxa"/>
          </w:tcPr>
          <w:p w14:paraId="3922D877" w14:textId="77777777" w:rsidR="00D026C7" w:rsidRPr="00D026C7" w:rsidRDefault="00D026C7" w:rsidP="00D026C7">
            <w:pPr>
              <w:rPr>
                <w:rFonts w:eastAsia="Calibri" w:cs="Arial"/>
              </w:rPr>
            </w:pPr>
          </w:p>
        </w:tc>
        <w:tc>
          <w:tcPr>
            <w:tcW w:w="6662" w:type="dxa"/>
          </w:tcPr>
          <w:p w14:paraId="08D7128B" w14:textId="77777777" w:rsidR="00D026C7" w:rsidRPr="00D026C7" w:rsidRDefault="00D026C7" w:rsidP="00D026C7">
            <w:pPr>
              <w:rPr>
                <w:rFonts w:eastAsia="Calibri" w:cs="Arial"/>
              </w:rPr>
            </w:pPr>
            <w:r w:rsidRPr="00D026C7">
              <w:rPr>
                <w:rFonts w:eastAsia="Calibri" w:cs="Arial"/>
              </w:rPr>
              <w:t>Kindlustuslepingu või poliisi tähtaegse mitteesitamise eest</w:t>
            </w:r>
          </w:p>
        </w:tc>
        <w:tc>
          <w:tcPr>
            <w:tcW w:w="1673" w:type="dxa"/>
          </w:tcPr>
          <w:p w14:paraId="3DEF12A6" w14:textId="77777777" w:rsidR="00D026C7" w:rsidRPr="00D026C7" w:rsidRDefault="00D026C7" w:rsidP="00D026C7">
            <w:pPr>
              <w:jc w:val="right"/>
              <w:rPr>
                <w:rFonts w:eastAsia="Calibri" w:cs="Arial"/>
              </w:rPr>
            </w:pPr>
            <w:r w:rsidRPr="00D026C7">
              <w:rPr>
                <w:rFonts w:eastAsia="Calibri" w:cs="Arial"/>
              </w:rPr>
              <w:t>kuni 100 iga päeva eest</w:t>
            </w:r>
          </w:p>
        </w:tc>
      </w:tr>
      <w:tr w:rsidR="00D026C7" w:rsidRPr="00D026C7" w14:paraId="40B8CEAF" w14:textId="77777777" w:rsidTr="000574D8">
        <w:trPr>
          <w:trHeight w:val="601"/>
        </w:trPr>
        <w:tc>
          <w:tcPr>
            <w:tcW w:w="1269" w:type="dxa"/>
          </w:tcPr>
          <w:p w14:paraId="1D0F3765" w14:textId="77777777" w:rsidR="00D026C7" w:rsidRPr="00D026C7" w:rsidRDefault="00D026C7" w:rsidP="00D026C7">
            <w:pPr>
              <w:rPr>
                <w:rFonts w:eastAsia="Calibri" w:cs="Arial"/>
              </w:rPr>
            </w:pPr>
          </w:p>
        </w:tc>
        <w:tc>
          <w:tcPr>
            <w:tcW w:w="6662" w:type="dxa"/>
          </w:tcPr>
          <w:p w14:paraId="6BCCEF49" w14:textId="77777777" w:rsidR="00D026C7" w:rsidRPr="00D026C7" w:rsidRDefault="00D026C7" w:rsidP="00D026C7">
            <w:pPr>
              <w:rPr>
                <w:rFonts w:eastAsia="Calibri" w:cs="Arial"/>
              </w:rPr>
            </w:pPr>
            <w:r w:rsidRPr="00D026C7">
              <w:rPr>
                <w:rFonts w:eastAsia="Calibri" w:cs="Arial"/>
              </w:rPr>
              <w:t>Garantiiaegse tagatise tähtaegse mitteesitamise eest</w:t>
            </w:r>
          </w:p>
        </w:tc>
        <w:tc>
          <w:tcPr>
            <w:tcW w:w="1673" w:type="dxa"/>
          </w:tcPr>
          <w:p w14:paraId="3004BC4E" w14:textId="77777777" w:rsidR="00D026C7" w:rsidRPr="00D026C7" w:rsidRDefault="00D026C7" w:rsidP="00D026C7">
            <w:pPr>
              <w:jc w:val="right"/>
              <w:rPr>
                <w:rFonts w:eastAsia="Calibri" w:cs="Arial"/>
              </w:rPr>
            </w:pPr>
            <w:r w:rsidRPr="00D026C7">
              <w:rPr>
                <w:rFonts w:eastAsia="Calibri" w:cs="Arial"/>
              </w:rPr>
              <w:t>kuni 100 iga päeva eest</w:t>
            </w:r>
          </w:p>
        </w:tc>
      </w:tr>
    </w:tbl>
    <w:p w14:paraId="0CDDDAF5" w14:textId="77777777" w:rsidR="00D026C7" w:rsidRPr="00D026C7" w:rsidRDefault="00D026C7" w:rsidP="00D026C7">
      <w:pPr>
        <w:ind w:hanging="11"/>
        <w:rPr>
          <w:rFonts w:eastAsia="Times New Roman" w:cs="Times New Roman"/>
        </w:rPr>
      </w:pPr>
    </w:p>
    <w:p w14:paraId="36259224" w14:textId="77777777" w:rsidR="00D026C7" w:rsidRPr="00D026C7" w:rsidRDefault="00D026C7" w:rsidP="00D026C7">
      <w:pPr>
        <w:ind w:left="360"/>
        <w:rPr>
          <w:rFonts w:eastAsia="Calibri" w:cs="Times New Roman"/>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2"/>
      </w:tblGrid>
      <w:tr w:rsidR="00D026C7" w:rsidRPr="00D026C7" w14:paraId="7B5AAAF0" w14:textId="77777777" w:rsidTr="000574D8">
        <w:tc>
          <w:tcPr>
            <w:tcW w:w="9632" w:type="dxa"/>
          </w:tcPr>
          <w:p w14:paraId="5A643E33" w14:textId="77777777" w:rsidR="00D026C7" w:rsidRPr="00D026C7" w:rsidRDefault="00D026C7" w:rsidP="00D026C7">
            <w:pPr>
              <w:tabs>
                <w:tab w:val="left" w:pos="2053"/>
              </w:tabs>
              <w:rPr>
                <w:rFonts w:eastAsia="Calibri" w:cs="Times New Roman"/>
                <w:b/>
                <w:bCs/>
              </w:rPr>
            </w:pPr>
            <w:r w:rsidRPr="00D026C7">
              <w:rPr>
                <w:rFonts w:eastAsia="Calibri" w:cs="Times New Roman"/>
                <w:b/>
                <w:bCs/>
              </w:rPr>
              <w:t xml:space="preserve">Tellija esindaja selgitused: </w:t>
            </w:r>
          </w:p>
          <w:p w14:paraId="52B32389" w14:textId="77777777" w:rsidR="00D026C7" w:rsidRPr="00D026C7" w:rsidRDefault="00D026C7" w:rsidP="00D026C7">
            <w:pPr>
              <w:tabs>
                <w:tab w:val="left" w:pos="2053"/>
              </w:tabs>
              <w:rPr>
                <w:rFonts w:eastAsia="Calibri" w:cs="Times New Roman"/>
                <w:b/>
                <w:bCs/>
              </w:rPr>
            </w:pPr>
          </w:p>
          <w:p w14:paraId="3D672605" w14:textId="77777777" w:rsidR="00D026C7" w:rsidRPr="00D026C7" w:rsidRDefault="00D026C7" w:rsidP="00D026C7">
            <w:pPr>
              <w:tabs>
                <w:tab w:val="left" w:pos="2053"/>
              </w:tabs>
              <w:rPr>
                <w:rFonts w:eastAsia="Calibri" w:cs="Times New Roman"/>
                <w:b/>
                <w:bCs/>
              </w:rPr>
            </w:pPr>
          </w:p>
          <w:p w14:paraId="392A7332" w14:textId="77777777" w:rsidR="00D026C7" w:rsidRPr="00D026C7" w:rsidRDefault="00D026C7" w:rsidP="00D026C7">
            <w:pPr>
              <w:tabs>
                <w:tab w:val="left" w:pos="2053"/>
              </w:tabs>
              <w:rPr>
                <w:rFonts w:eastAsia="Calibri" w:cs="Times New Roman"/>
                <w:b/>
                <w:bCs/>
              </w:rPr>
            </w:pPr>
          </w:p>
          <w:p w14:paraId="2C9215CA" w14:textId="77777777" w:rsidR="00D026C7" w:rsidRPr="00D026C7" w:rsidRDefault="00D026C7" w:rsidP="00D026C7">
            <w:pPr>
              <w:tabs>
                <w:tab w:val="left" w:pos="2053"/>
              </w:tabs>
              <w:rPr>
                <w:rFonts w:eastAsia="Calibri" w:cs="Times New Roman"/>
                <w:b/>
                <w:bCs/>
              </w:rPr>
            </w:pPr>
          </w:p>
        </w:tc>
      </w:tr>
    </w:tbl>
    <w:p w14:paraId="605CC11B" w14:textId="77777777" w:rsidR="00D026C7" w:rsidRPr="00D026C7" w:rsidRDefault="00D026C7" w:rsidP="00D026C7">
      <w:pPr>
        <w:rPr>
          <w:rFonts w:eastAsia="Calibri" w:cs="Times New Roman"/>
        </w:rPr>
      </w:pPr>
    </w:p>
    <w:p w14:paraId="616915D4" w14:textId="77777777" w:rsidR="00D026C7" w:rsidRPr="00D026C7" w:rsidRDefault="00D026C7" w:rsidP="00D026C7">
      <w:pPr>
        <w:rPr>
          <w:rFonts w:eastAsia="Calibri" w:cs="Times New Roman"/>
        </w:rPr>
      </w:pPr>
      <w:r w:rsidRPr="00D026C7">
        <w:rPr>
          <w:rFonts w:eastAsia="Calibri" w:cs="Times New Roman"/>
        </w:rPr>
        <w:t>Akti koostas:</w:t>
      </w:r>
      <w:r w:rsidRPr="00D026C7">
        <w:rPr>
          <w:rFonts w:eastAsia="Calibri" w:cs="Times New Roman"/>
        </w:rPr>
        <w:tab/>
      </w:r>
    </w:p>
    <w:p w14:paraId="17774ADF" w14:textId="77777777" w:rsidR="00D026C7" w:rsidRPr="00D026C7" w:rsidRDefault="00D026C7" w:rsidP="00D026C7">
      <w:pPr>
        <w:rPr>
          <w:rFonts w:eastAsia="Calibri" w:cs="Times New Roman"/>
        </w:rPr>
      </w:pPr>
      <w:r w:rsidRPr="00D026C7">
        <w:rPr>
          <w:rFonts w:eastAsia="Calibri" w:cs="Times New Roman"/>
        </w:rPr>
        <w:tab/>
      </w:r>
      <w:r w:rsidRPr="00D026C7">
        <w:rPr>
          <w:rFonts w:eastAsia="Calibri" w:cs="Times New Roman"/>
        </w:rPr>
        <w:tab/>
      </w:r>
      <w:r w:rsidRPr="00D026C7">
        <w:rPr>
          <w:rFonts w:eastAsia="Calibri" w:cs="Times New Roman"/>
        </w:rPr>
        <w:tab/>
      </w:r>
      <w:r w:rsidRPr="00D026C7">
        <w:rPr>
          <w:rFonts w:eastAsia="Calibri" w:cs="Times New Roman"/>
        </w:rPr>
        <w:tab/>
      </w:r>
    </w:p>
    <w:p w14:paraId="56801338" w14:textId="77777777" w:rsidR="00D026C7" w:rsidRPr="00D026C7" w:rsidRDefault="00D026C7" w:rsidP="00D026C7">
      <w:pPr>
        <w:rPr>
          <w:rFonts w:eastAsia="Calibri" w:cs="Times New Roman"/>
        </w:rPr>
      </w:pPr>
      <w:r w:rsidRPr="00D026C7">
        <w:rPr>
          <w:rFonts w:eastAsia="Calibri" w:cs="Times New Roman"/>
        </w:rPr>
        <w:t>(omanikujärelevalve)</w:t>
      </w:r>
    </w:p>
    <w:p w14:paraId="0A6E2CC1" w14:textId="77777777" w:rsidR="00D026C7" w:rsidRPr="00D026C7" w:rsidRDefault="00D026C7" w:rsidP="00D026C7">
      <w:pPr>
        <w:rPr>
          <w:rFonts w:eastAsia="Calibri" w:cs="Times New Roman"/>
        </w:rPr>
      </w:pPr>
    </w:p>
    <w:p w14:paraId="3FB7A0AF" w14:textId="77777777" w:rsidR="00D026C7" w:rsidRPr="00D026C7" w:rsidRDefault="00D026C7" w:rsidP="00D026C7">
      <w:pPr>
        <w:rPr>
          <w:rFonts w:eastAsia="Times New Roman" w:cs="Times New Roman"/>
        </w:rPr>
      </w:pPr>
      <w:r w:rsidRPr="00D026C7">
        <w:rPr>
          <w:rFonts w:eastAsia="Times New Roman" w:cs="Times New Roman"/>
        </w:rPr>
        <w:t>(tellija esindaja)</w:t>
      </w:r>
      <w:r w:rsidRPr="00D026C7">
        <w:rPr>
          <w:rFonts w:eastAsia="Times New Roman" w:cs="Times New Roman"/>
        </w:rPr>
        <w:tab/>
      </w:r>
      <w:r w:rsidRPr="00D026C7">
        <w:rPr>
          <w:rFonts w:eastAsia="Times New Roman" w:cs="Times New Roman"/>
        </w:rPr>
        <w:tab/>
      </w:r>
    </w:p>
    <w:p w14:paraId="029C38BD" w14:textId="77777777" w:rsidR="00D026C7" w:rsidRPr="00D026C7" w:rsidRDefault="00D026C7" w:rsidP="00D026C7">
      <w:pPr>
        <w:rPr>
          <w:rFonts w:eastAsia="Calibri" w:cs="Arial"/>
        </w:rPr>
      </w:pPr>
    </w:p>
    <w:p w14:paraId="3E3951FF" w14:textId="77777777" w:rsidR="00D026C7" w:rsidRPr="00D026C7" w:rsidRDefault="00D026C7" w:rsidP="00D026C7">
      <w:pPr>
        <w:rPr>
          <w:rFonts w:eastAsia="Calibri" w:cs="Arial"/>
        </w:rPr>
      </w:pPr>
    </w:p>
    <w:p w14:paraId="380B8B57" w14:textId="77777777" w:rsidR="00D026C7" w:rsidRPr="00D026C7" w:rsidRDefault="00D026C7" w:rsidP="00D026C7">
      <w:pPr>
        <w:rPr>
          <w:rFonts w:eastAsia="Calibri" w:cs="Times New Roman"/>
          <w:noProof/>
        </w:rPr>
      </w:pPr>
    </w:p>
    <w:p w14:paraId="2DED6212" w14:textId="77777777" w:rsidR="00D026C7" w:rsidRPr="00D026C7" w:rsidRDefault="00D026C7" w:rsidP="00D026C7">
      <w:pPr>
        <w:rPr>
          <w:rFonts w:eastAsia="Calibri" w:cs="Arial"/>
        </w:rPr>
      </w:pPr>
    </w:p>
    <w:p w14:paraId="06D821BD" w14:textId="77777777" w:rsidR="00D026C7" w:rsidRPr="00D026C7" w:rsidRDefault="00D026C7" w:rsidP="00D026C7">
      <w:pPr>
        <w:rPr>
          <w:rFonts w:eastAsia="Calibri" w:cs="Arial"/>
        </w:rPr>
      </w:pPr>
    </w:p>
    <w:p w14:paraId="2C92F0EE" w14:textId="77777777" w:rsidR="00D026C7" w:rsidRPr="00D026C7" w:rsidRDefault="00D026C7" w:rsidP="00D026C7">
      <w:pPr>
        <w:rPr>
          <w:rFonts w:eastAsia="Calibri" w:cs="Arial"/>
        </w:rPr>
      </w:pPr>
    </w:p>
    <w:p w14:paraId="1C31A6D1" w14:textId="77777777" w:rsidR="00D026C7" w:rsidRPr="00D026C7" w:rsidRDefault="00D026C7" w:rsidP="00D026C7">
      <w:pPr>
        <w:rPr>
          <w:rFonts w:eastAsia="Calibri" w:cs="Arial"/>
        </w:rPr>
      </w:pPr>
      <w:r w:rsidRPr="00D026C7">
        <w:rPr>
          <w:rFonts w:eastAsia="Calibri" w:cs="Arial"/>
        </w:rPr>
        <w:t xml:space="preserve"> </w:t>
      </w:r>
    </w:p>
    <w:p w14:paraId="37D956ED" w14:textId="77777777" w:rsidR="00D026C7" w:rsidRPr="00D026C7" w:rsidRDefault="00D026C7" w:rsidP="00D026C7">
      <w:pPr>
        <w:rPr>
          <w:rFonts w:eastAsia="Calibri" w:cs="Arial"/>
        </w:rPr>
      </w:pPr>
    </w:p>
    <w:p w14:paraId="7F71EDF6" w14:textId="77777777" w:rsidR="003C7502" w:rsidRDefault="003C7502"/>
    <w:sectPr w:rsidR="003C7502" w:rsidSect="0038010D">
      <w:headerReference w:type="default" r:id="rId6"/>
      <w:pgSz w:w="11906" w:h="16838"/>
      <w:pgMar w:top="1276" w:right="113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3D65" w14:textId="77777777" w:rsidR="00024B51" w:rsidRDefault="00024B51">
      <w:pPr>
        <w:spacing w:line="240" w:lineRule="auto"/>
      </w:pPr>
      <w:r>
        <w:separator/>
      </w:r>
    </w:p>
  </w:endnote>
  <w:endnote w:type="continuationSeparator" w:id="0">
    <w:p w14:paraId="7A353D7B" w14:textId="77777777" w:rsidR="00024B51" w:rsidRDefault="00024B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897F" w14:textId="77777777" w:rsidR="00024B51" w:rsidRDefault="00024B51">
      <w:pPr>
        <w:spacing w:line="240" w:lineRule="auto"/>
      </w:pPr>
      <w:r>
        <w:separator/>
      </w:r>
    </w:p>
  </w:footnote>
  <w:footnote w:type="continuationSeparator" w:id="0">
    <w:p w14:paraId="7BD4E001" w14:textId="77777777" w:rsidR="00024B51" w:rsidRDefault="00024B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25FA" w14:textId="452E52D8" w:rsidR="00827717" w:rsidRPr="00827717" w:rsidRDefault="00827717" w:rsidP="00827717">
    <w:pPr>
      <w:tabs>
        <w:tab w:val="center" w:pos="4536"/>
        <w:tab w:val="right" w:pos="9072"/>
      </w:tabs>
      <w:spacing w:line="240" w:lineRule="auto"/>
      <w:jc w:val="right"/>
      <w:rPr>
        <w:rFonts w:eastAsia="Calibri" w:cs="Times New Roman"/>
      </w:rPr>
    </w:pPr>
    <w:r w:rsidRPr="00827717">
      <w:rPr>
        <w:rFonts w:eastAsia="Calibri" w:cs="Times New Roman"/>
      </w:rPr>
      <w:t>Riigihange: Veskitammi tänava jalgtee ning Veskitammi tunneli juurde jalgrattaparkla ehitus</w:t>
    </w:r>
  </w:p>
  <w:p w14:paraId="0A4B983A" w14:textId="1D2CEF34" w:rsidR="00827717" w:rsidRPr="00827717" w:rsidRDefault="00827717" w:rsidP="00827717">
    <w:pPr>
      <w:tabs>
        <w:tab w:val="center" w:pos="4536"/>
        <w:tab w:val="right" w:pos="9072"/>
      </w:tabs>
      <w:spacing w:line="240" w:lineRule="auto"/>
      <w:jc w:val="right"/>
      <w:rPr>
        <w:rFonts w:eastAsia="Calibri"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B2"/>
    <w:rsid w:val="00024B51"/>
    <w:rsid w:val="0004626B"/>
    <w:rsid w:val="000667E5"/>
    <w:rsid w:val="002422C4"/>
    <w:rsid w:val="003C7502"/>
    <w:rsid w:val="003F0494"/>
    <w:rsid w:val="004B7741"/>
    <w:rsid w:val="004F0469"/>
    <w:rsid w:val="00591996"/>
    <w:rsid w:val="00827717"/>
    <w:rsid w:val="00866B8F"/>
    <w:rsid w:val="009709AC"/>
    <w:rsid w:val="00A165F1"/>
    <w:rsid w:val="00C262B2"/>
    <w:rsid w:val="00D026C7"/>
    <w:rsid w:val="00F3087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0280"/>
  <w15:chartTrackingRefBased/>
  <w15:docId w15:val="{18339B62-27E5-40D0-82E5-39BB9BF0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2C4"/>
    <w:pPr>
      <w:spacing w:after="0" w:line="280" w:lineRule="exact"/>
      <w:jc w:val="both"/>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6C7"/>
    <w:pPr>
      <w:tabs>
        <w:tab w:val="center" w:pos="4536"/>
        <w:tab w:val="right" w:pos="9072"/>
      </w:tabs>
      <w:spacing w:line="240" w:lineRule="auto"/>
    </w:pPr>
    <w:rPr>
      <w:rFonts w:ascii="Times New Roman" w:hAnsi="Times New Roman"/>
      <w:sz w:val="24"/>
    </w:rPr>
  </w:style>
  <w:style w:type="character" w:customStyle="1" w:styleId="HeaderChar">
    <w:name w:val="Header Char"/>
    <w:basedOn w:val="DefaultParagraphFont"/>
    <w:link w:val="Header"/>
    <w:uiPriority w:val="99"/>
    <w:rsid w:val="00D026C7"/>
    <w:rPr>
      <w:rFonts w:ascii="Times New Roman" w:hAnsi="Times New Roman"/>
      <w:sz w:val="24"/>
    </w:rPr>
  </w:style>
  <w:style w:type="paragraph" w:styleId="Footer">
    <w:name w:val="footer"/>
    <w:basedOn w:val="Normal"/>
    <w:link w:val="FooterChar"/>
    <w:uiPriority w:val="99"/>
    <w:unhideWhenUsed/>
    <w:rsid w:val="009709AC"/>
    <w:pPr>
      <w:tabs>
        <w:tab w:val="center" w:pos="4536"/>
        <w:tab w:val="right" w:pos="9072"/>
      </w:tabs>
      <w:spacing w:line="240" w:lineRule="auto"/>
    </w:pPr>
  </w:style>
  <w:style w:type="character" w:customStyle="1" w:styleId="FooterChar">
    <w:name w:val="Footer Char"/>
    <w:basedOn w:val="DefaultParagraphFont"/>
    <w:link w:val="Footer"/>
    <w:uiPriority w:val="99"/>
    <w:rsid w:val="009709AC"/>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23150">
      <w:bodyDiv w:val="1"/>
      <w:marLeft w:val="0"/>
      <w:marRight w:val="0"/>
      <w:marTop w:val="0"/>
      <w:marBottom w:val="0"/>
      <w:divBdr>
        <w:top w:val="none" w:sz="0" w:space="0" w:color="auto"/>
        <w:left w:val="none" w:sz="0" w:space="0" w:color="auto"/>
        <w:bottom w:val="none" w:sz="0" w:space="0" w:color="auto"/>
        <w:right w:val="none" w:sz="0" w:space="0" w:color="auto"/>
      </w:divBdr>
    </w:div>
    <w:div w:id="196407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2179</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Indrek Pikk</cp:lastModifiedBy>
  <cp:revision>2</cp:revision>
  <dcterms:created xsi:type="dcterms:W3CDTF">2023-07-05T13:32:00Z</dcterms:created>
  <dcterms:modified xsi:type="dcterms:W3CDTF">2023-07-05T13:32:00Z</dcterms:modified>
</cp:coreProperties>
</file>